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454545"/>
          <w:sz w:val="24"/>
          <w:szCs w:val="24"/>
          <w:highlight w:val="white"/>
        </w:rPr>
      </w:pPr>
      <w:r w:rsidDel="00000000" w:rsidR="00000000" w:rsidRPr="00000000">
        <w:rPr>
          <w:b w:val="1"/>
          <w:color w:val="454545"/>
          <w:sz w:val="24"/>
          <w:szCs w:val="24"/>
          <w:highlight w:val="white"/>
          <w:rtl w:val="0"/>
        </w:rPr>
        <w:t xml:space="preserve">Misselling w sektorze finansowym - czym jest i jak się przed nim uchronić?</w:t>
      </w:r>
    </w:p>
    <w:p w:rsidR="00000000" w:rsidDel="00000000" w:rsidP="00000000" w:rsidRDefault="00000000" w:rsidRPr="00000000" w14:paraId="00000002">
      <w:pPr>
        <w:jc w:val="both"/>
        <w:rPr>
          <w:b w:val="1"/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454545"/>
          <w:sz w:val="24"/>
          <w:szCs w:val="24"/>
          <w:highlight w:val="white"/>
        </w:rPr>
      </w:pPr>
      <w:r w:rsidDel="00000000" w:rsidR="00000000" w:rsidRPr="00000000">
        <w:rPr>
          <w:b w:val="1"/>
          <w:color w:val="454545"/>
          <w:sz w:val="24"/>
          <w:szCs w:val="24"/>
          <w:highlight w:val="white"/>
          <w:rtl w:val="0"/>
        </w:rPr>
        <w:t xml:space="preserve">Misselling w sektorze finansowym to oferowanie klientowi zbędnych usług finansowych. </w:t>
      </w:r>
      <w:r w:rsidDel="00000000" w:rsidR="00000000" w:rsidRPr="00000000">
        <w:rPr>
          <w:b w:val="1"/>
          <w:color w:val="454545"/>
          <w:sz w:val="24"/>
          <w:szCs w:val="24"/>
          <w:highlight w:val="white"/>
          <w:rtl w:val="0"/>
        </w:rPr>
        <w:t xml:space="preserve">Skutki mogą być dla nas nieprzyjemne</w:t>
      </w:r>
      <w:r w:rsidDel="00000000" w:rsidR="00000000" w:rsidRPr="00000000">
        <w:rPr>
          <w:b w:val="1"/>
          <w:color w:val="454545"/>
          <w:sz w:val="24"/>
          <w:szCs w:val="24"/>
          <w:highlight w:val="white"/>
          <w:rtl w:val="0"/>
        </w:rPr>
        <w:t xml:space="preserve">, czego przykładem jest sytuacja frankowiczów czy misselling ubezpieczeń na życie, gdzie straty dla pojedynczego konsumenta sięgają nawet kilkuset tysięcy złotych</w:t>
      </w:r>
      <w:r w:rsidDel="00000000" w:rsidR="00000000" w:rsidRPr="00000000">
        <w:rPr>
          <w:b w:val="1"/>
          <w:color w:val="454545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b w:val="1"/>
          <w:color w:val="454545"/>
          <w:sz w:val="24"/>
          <w:szCs w:val="24"/>
          <w:highlight w:val="white"/>
          <w:rtl w:val="0"/>
        </w:rPr>
        <w:t xml:space="preserve">. Przed missellingiem możemy się uchronić dowiadując się jak najwięcej o interesującej nas usłudze i czytając umowę przed jej podpisaniem.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Zjawisko missellingu (ang. chybiona sprzedaż) w branży finansowej nie jest niczym nowym. Jego początki sięgają lat 90. XX wieku, gdy w Wielkiej Brytanii zaczęto sprzedawać produkty finansowe wraz z polisami ubezpieczeniowymi. Obecnie pojęcie missellingu jest dość szerokie. W podstawowym znaczeniu jest to sprzedaż klientom dodatkowych usług, których wcale nie potrzebują. </w:t>
      </w:r>
    </w:p>
    <w:p w:rsidR="00000000" w:rsidDel="00000000" w:rsidP="00000000" w:rsidRDefault="00000000" w:rsidRPr="00000000" w14:paraId="00000006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Misselling może również oznaczać zatajenie cech produktu, skupienie się na przedstawieniu wyłącznie pozytywnych jego cech, a nawet celowe wprowadzenie konsumenta w błąd. </w:t>
      </w:r>
    </w:p>
    <w:p w:rsidR="00000000" w:rsidDel="00000000" w:rsidP="00000000" w:rsidRDefault="00000000" w:rsidRPr="00000000" w14:paraId="00000008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color w:val="454545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Misselling, choć jest praktyką, która zdecydowanie nie powinna mieć miejsca, jest niestety częstym zjawiskiem. Na naszym rodzimym podwórku zdarzyło się kilka sytuacji, które przeniknęły do opinii publicznej. I słusznie, bo o nieuczciwych praktykach należy mówić głośno i dosadnie. Tak, aby inni nie popełnili tych samych błędów.  - komentuje Marcin Sikora, Chief Sales Officer w Grupie LOANDO (właściciel pozyczkaportal.pl i loando.pl).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Prawdopodobnie najbardziej znanym w naszym kraju jest case kredytów we frankach szwajcarskich. Znaczna część społeczeństwa zaciągała kredyty w tej walucie w chwili, gdy jej kurs w stosunku do złotówki był bardzo atrakcyjny. Niewykluczone, że kredytodawcy nie ostrzegali klientów przed ryzykiem, jakim był potencjalny wzrost kwoty do spłacenia w razie gdyby kurs franka się umocnił. Z pomocą przyszło wprowadzenie tzw. ustawy antyspreadowej, która dała frankowiczom możliwość wprowadzenia aneksów do umów oraz spłaty kredytu bezpośrednio w obcej walucie - bez kosztów przewalutowania, na których zarabiały banki.</w:t>
      </w:r>
    </w:p>
    <w:p w:rsidR="00000000" w:rsidDel="00000000" w:rsidP="00000000" w:rsidRDefault="00000000" w:rsidRPr="00000000" w14:paraId="0000000C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Misselling występuje także w branży ubezpieczeń. Są to różnego rodzaju polisy ubezpieczeniowe, oferowane tym konsumentom, którzy najprawdopodobniej nie będą w stanie spełnić wszystkich warunków koniecznych do pozyskania odszkodowania. Charakterystyczne dla missellingu są celowość i powtarzalność nieuczciwych praktyk.</w:t>
      </w:r>
    </w:p>
    <w:p w:rsidR="00000000" w:rsidDel="00000000" w:rsidP="00000000" w:rsidRDefault="00000000" w:rsidRPr="00000000" w14:paraId="0000000E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both"/>
        <w:rPr>
          <w:color w:val="454545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W najlepszym wypadku zapłacimy za produkt, którego nie potrzebujemy. To zdarza się nie tylko w przypadku sektora finansowego lub ubezpieczeniowego, ale praktycznie w każdej innej branży. Często skuszeni reklamą, bądź poleceniami sprzedawcy w sklepie kupujemy towary, których prawdopodobnie nigdy nie użyjemy. Misselling w sektorze finansowym niesie jednak za sobą wiele więcej niebezpieczeństw. Jak pokazuje przykład frankowiczów - chybiona sprzedaż może wpędzić nas w poważne kłopoty finansowe, a w skrajnych przypadkach doprowadzić do bankructwa.</w:t>
      </w: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 - mówi Marcin Sikora, Chief Sales Officer w Grupie LOANDO (właściciel pozyczkaportal.pl i loando.pl).</w:t>
      </w:r>
    </w:p>
    <w:p w:rsidR="00000000" w:rsidDel="00000000" w:rsidP="00000000" w:rsidRDefault="00000000" w:rsidRPr="00000000" w14:paraId="00000010">
      <w:pPr>
        <w:jc w:val="both"/>
        <w:rPr>
          <w:b w:val="1"/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W celu zapewnienia ochrony konsumentom w kwietniu 2016 UOKiK wprowadził zmiany do </w:t>
      </w:r>
      <w:r w:rsidDel="00000000" w:rsidR="00000000" w:rsidRPr="00000000">
        <w:rPr>
          <w:i w:val="1"/>
          <w:color w:val="454545"/>
          <w:sz w:val="24"/>
          <w:szCs w:val="24"/>
          <w:highlight w:val="white"/>
          <w:rtl w:val="0"/>
        </w:rPr>
        <w:t xml:space="preserve">Ustawy z dnia 16 lutego 2007 r. o ochronie konkurencji i konsumentów</w:t>
      </w: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. Art. 24 wyraźnie zakazuje praktyk, które mogą naruszyć interesy zbiorowe konsumentów. Należy jednak w tym miejscu podkreślić, że UOKiK nie zajmie się sprawą w sytuacji, gdy dotyczy ona pojedynczego konsumenta, który dokonał zakupu usługi finansowej niedostosowanej do jego potrzeb. Inną formą ochrony konsumentów jest </w:t>
      </w: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kontrola jako tzw. “tajemniczy klient”. Pozwala to UOKiKowi sprawdzić rzetelność instytucji finansowych i stosowanych przez nie praktyk.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Przyczyną, dla której instytucje finansowe pozwalają sobie na takie praktyki, jest </w:t>
      </w: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mała wiedza(lub całkowity jej brak) klienta na temat usługi, którą jest zainteresowany.  Jak uchronić się przed staniem się ofiarą misselingu?</w:t>
      </w:r>
    </w:p>
    <w:p w:rsidR="00000000" w:rsidDel="00000000" w:rsidP="00000000" w:rsidRDefault="00000000" w:rsidRPr="00000000" w14:paraId="00000013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Zanim podejmiemy decyzję o skorzystaniu z danej usługi, należałoby dowiedzieć się jak najwięcej na jej temat. Dzięki temu nie damy się zaskoczyć w trakcie rozmowy ze sprzedawcą i szansa, że wciśnie nam nie interesującą nas ofertę jest niewielka. - radzi Marcin Sikora, Chief Sales Officer w Grupie LOANDO.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Jeśli już zorientujemy się, że padliśmy ofiarą missellingu post factum, również możemy skorzystać z kilku rozwiązań.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Przede wszystkim powinniśmy złożyć reklamację. Będzie ona zasadna w sytuacji, gdy instytucja nie przestrzega zasad umowy lub gdy w umowie widnieją zapisy niezgodne z obowiązującym prawem. Jeśli wynik reklamacji nas nie satysfakcjonuje, warto skorzystać z pomocy Rzecznika Finansowego. </w:t>
      </w:r>
    </w:p>
    <w:p w:rsidR="00000000" w:rsidDel="00000000" w:rsidP="00000000" w:rsidRDefault="00000000" w:rsidRPr="00000000" w14:paraId="00000019">
      <w:pPr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color w:val="454545"/>
          <w:sz w:val="24"/>
          <w:szCs w:val="24"/>
          <w:highlight w:val="white"/>
        </w:rPr>
      </w:pP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Pamiętajmy też o czytaniu umów. Dane pokazują, że wciąż tylko 40% ankietowanych dokładnie czyta umowy przed ich podpisaniem</w:t>
      </w:r>
      <w:r w:rsidDel="00000000" w:rsidR="00000000" w:rsidRPr="00000000">
        <w:rPr>
          <w:color w:val="454545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color w:val="454545"/>
          <w:sz w:val="24"/>
          <w:szCs w:val="24"/>
          <w:highlight w:val="white"/>
          <w:rtl w:val="0"/>
        </w:rPr>
        <w:t xml:space="preserve">. - zauważa Marcin Sikora, Chief Sales Officer w Grupie LOANDO. -  Nie bójmy się szukać odpowiedzi w sytuacji, gdy coś jest dla nas niezrozumiałe. Nie musimy podpisywać umowy od razu, możemy przecież zastanowić się nad jej warunkami, skontaktować z ekspertem. Być może stracimy trochę czasu, ale zyskamy pewność, że nie zostaniemy oszukani. - dodaje.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76" w:lineRule="auto"/>
        <w:jc w:val="both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Nie ulega wątpliwości, że misselling jest nieuczciwą praktyką, która nie powinna być stosowana. Nie rezygnujmy jednak z nabywania usług finansowych. Przestrzeganie zasad bezpieczeństwa, dobry research, czytanie umów czy kontakt ze specjalistami są w stanie uchronić nas przed missellingiem.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0f141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https://www.gpw.pl/pub/GPW/pdf/Poziom_wiedzy_finansowej_Polakow.pdf</w:t>
      </w:r>
    </w:p>
  </w:footnote>
  <w:footnote w:id="0"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http://www.annalesonline.uni.lodz.pl/archiwum/2019/2019_3_paduszynska_45_60.pdf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